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19A" w:rsidRDefault="00C5319A"/>
    <w:p w:rsidR="00FB4BE9" w:rsidRPr="00FB4BE9" w:rsidRDefault="00FB4BE9">
      <w:pPr>
        <w:rPr>
          <w:b/>
        </w:rPr>
      </w:pPr>
      <w:r w:rsidRPr="00FB4BE9">
        <w:rPr>
          <w:b/>
        </w:rPr>
        <w:t>BIOL 2510 Learning Objectives 7CD</w:t>
      </w:r>
    </w:p>
    <w:p w:rsidR="00FB4BE9" w:rsidRDefault="00FB4BE9"/>
    <w:p w:rsidR="00FB4BE9" w:rsidRDefault="00FB4BE9" w:rsidP="00FB4BE9">
      <w:pPr>
        <w:rPr>
          <w:b/>
          <w:bCs/>
        </w:rPr>
      </w:pPr>
      <w:r w:rsidRPr="00584FD6">
        <w:rPr>
          <w:b/>
          <w:bCs/>
        </w:rPr>
        <w:t>Lecture 7C</w:t>
      </w:r>
    </w:p>
    <w:p w:rsidR="007A420F" w:rsidRPr="007A420F" w:rsidRDefault="00FB4BE9" w:rsidP="007A420F">
      <w:pPr>
        <w:pStyle w:val="ListParagraph"/>
        <w:numPr>
          <w:ilvl w:val="0"/>
          <w:numId w:val="1"/>
        </w:numPr>
      </w:pPr>
      <w:r w:rsidRPr="00A23EFF">
        <w:rPr>
          <w:b/>
        </w:rPr>
        <w:t>Contrast</w:t>
      </w:r>
      <w:r>
        <w:t xml:space="preserve"> these disorders with respect to etiology (including neural structures affected), manifestations, diagnosis and treatment: MS, Guillain-Barre, ALS, </w:t>
      </w:r>
      <w:proofErr w:type="gramStart"/>
      <w:r>
        <w:t>Bell</w:t>
      </w:r>
      <w:proofErr w:type="gramEnd"/>
      <w:r>
        <w:t xml:space="preserve"> Palsy. (Table provided)</w:t>
      </w:r>
    </w:p>
    <w:tbl>
      <w:tblPr>
        <w:tblStyle w:val="TableGrid"/>
        <w:tblW w:w="0" w:type="auto"/>
        <w:tblLook w:val="04A0" w:firstRow="1" w:lastRow="0" w:firstColumn="1" w:lastColumn="0" w:noHBand="0" w:noVBand="1"/>
      </w:tblPr>
      <w:tblGrid>
        <w:gridCol w:w="1975"/>
        <w:gridCol w:w="2051"/>
        <w:gridCol w:w="2334"/>
        <w:gridCol w:w="2160"/>
        <w:gridCol w:w="2021"/>
      </w:tblGrid>
      <w:tr w:rsidR="007A420F" w:rsidTr="0098427D">
        <w:tc>
          <w:tcPr>
            <w:tcW w:w="1975" w:type="dxa"/>
          </w:tcPr>
          <w:p w:rsidR="007A420F" w:rsidRPr="00423788" w:rsidRDefault="007A420F" w:rsidP="0098427D">
            <w:pPr>
              <w:rPr>
                <w:b/>
              </w:rPr>
            </w:pPr>
            <w:r w:rsidRPr="00423788">
              <w:rPr>
                <w:b/>
              </w:rPr>
              <w:t>Disorder</w:t>
            </w:r>
          </w:p>
        </w:tc>
        <w:tc>
          <w:tcPr>
            <w:tcW w:w="2051" w:type="dxa"/>
          </w:tcPr>
          <w:p w:rsidR="007A420F" w:rsidRPr="00423788" w:rsidRDefault="007A420F" w:rsidP="0098427D">
            <w:pPr>
              <w:rPr>
                <w:b/>
              </w:rPr>
            </w:pPr>
            <w:r w:rsidRPr="00423788">
              <w:rPr>
                <w:b/>
              </w:rPr>
              <w:t>Etiology</w:t>
            </w:r>
          </w:p>
        </w:tc>
        <w:tc>
          <w:tcPr>
            <w:tcW w:w="2334" w:type="dxa"/>
          </w:tcPr>
          <w:p w:rsidR="007A420F" w:rsidRPr="00423788" w:rsidRDefault="007A420F" w:rsidP="0098427D">
            <w:pPr>
              <w:rPr>
                <w:b/>
              </w:rPr>
            </w:pPr>
            <w:r w:rsidRPr="00423788">
              <w:rPr>
                <w:b/>
              </w:rPr>
              <w:t>Manifestation</w:t>
            </w:r>
          </w:p>
        </w:tc>
        <w:tc>
          <w:tcPr>
            <w:tcW w:w="2160" w:type="dxa"/>
          </w:tcPr>
          <w:p w:rsidR="007A420F" w:rsidRPr="00423788" w:rsidRDefault="007A420F" w:rsidP="0098427D">
            <w:pPr>
              <w:rPr>
                <w:b/>
              </w:rPr>
            </w:pPr>
            <w:r w:rsidRPr="00423788">
              <w:rPr>
                <w:b/>
              </w:rPr>
              <w:t>Diagnosis</w:t>
            </w:r>
          </w:p>
        </w:tc>
        <w:tc>
          <w:tcPr>
            <w:tcW w:w="2016" w:type="dxa"/>
          </w:tcPr>
          <w:p w:rsidR="007A420F" w:rsidRPr="00423788" w:rsidRDefault="007A420F" w:rsidP="0098427D">
            <w:pPr>
              <w:rPr>
                <w:b/>
              </w:rPr>
            </w:pPr>
            <w:r w:rsidRPr="00423788">
              <w:rPr>
                <w:b/>
              </w:rPr>
              <w:t>Treatment</w:t>
            </w:r>
          </w:p>
        </w:tc>
      </w:tr>
      <w:tr w:rsidR="007A420F" w:rsidTr="0098427D">
        <w:tc>
          <w:tcPr>
            <w:tcW w:w="1975" w:type="dxa"/>
          </w:tcPr>
          <w:p w:rsidR="007A420F" w:rsidRPr="00521387" w:rsidRDefault="007A420F" w:rsidP="0098427D">
            <w:pPr>
              <w:rPr>
                <w:b/>
              </w:rPr>
            </w:pPr>
            <w:r w:rsidRPr="00521387">
              <w:rPr>
                <w:b/>
              </w:rPr>
              <w:t>Multiple sclerosis</w:t>
            </w:r>
          </w:p>
        </w:tc>
        <w:tc>
          <w:tcPr>
            <w:tcW w:w="2051" w:type="dxa"/>
          </w:tcPr>
          <w:p w:rsidR="007A420F" w:rsidRPr="00847140" w:rsidRDefault="007A420F" w:rsidP="0098427D">
            <w:r w:rsidRPr="00847140">
              <w:t>Autoimmune disorder that results in damage to myelin sheath of CNS neurons</w:t>
            </w:r>
            <w:r>
              <w:t xml:space="preserve"> in the brain,</w:t>
            </w:r>
            <w:r w:rsidRPr="00847140">
              <w:t xml:space="preserve"> cran</w:t>
            </w:r>
            <w:r>
              <w:t xml:space="preserve">ial nerves, </w:t>
            </w:r>
            <w:r w:rsidRPr="00847140">
              <w:t xml:space="preserve">corticospinal </w:t>
            </w:r>
            <w:r>
              <w:t>tracts,</w:t>
            </w:r>
            <w:r w:rsidRPr="00847140">
              <w:t xml:space="preserve"> cerebellar tracts </w:t>
            </w:r>
          </w:p>
          <w:p w:rsidR="007A420F" w:rsidRPr="00847140" w:rsidRDefault="007A420F" w:rsidP="0098427D"/>
          <w:p w:rsidR="007A420F" w:rsidRPr="00847140" w:rsidRDefault="007A420F" w:rsidP="0098427D">
            <w:r w:rsidRPr="00847140">
              <w:t>Lower motor neurons are not affected.</w:t>
            </w:r>
          </w:p>
        </w:tc>
        <w:tc>
          <w:tcPr>
            <w:tcW w:w="2334" w:type="dxa"/>
          </w:tcPr>
          <w:p w:rsidR="007A420F" w:rsidRDefault="007A420F" w:rsidP="0098427D">
            <w:r w:rsidRPr="00847140">
              <w:t xml:space="preserve">Extremely variable-motor, sensory, cerebellar, bowel, bladder, </w:t>
            </w:r>
            <w:r>
              <w:t>cognitive and emotional effects</w:t>
            </w:r>
          </w:p>
          <w:p w:rsidR="007A420F" w:rsidRDefault="007A420F" w:rsidP="0098427D"/>
          <w:p w:rsidR="007A420F" w:rsidRPr="00847140" w:rsidRDefault="007A420F" w:rsidP="0098427D">
            <w:r>
              <w:t>Periods of remission/exacerbation occur</w:t>
            </w:r>
          </w:p>
        </w:tc>
        <w:tc>
          <w:tcPr>
            <w:tcW w:w="2160" w:type="dxa"/>
          </w:tcPr>
          <w:p w:rsidR="007A420F" w:rsidRDefault="007A420F" w:rsidP="0098427D">
            <w:r w:rsidRPr="00847140">
              <w:t>No conclusive test</w:t>
            </w:r>
          </w:p>
          <w:p w:rsidR="007A420F" w:rsidRDefault="007A420F" w:rsidP="0098427D"/>
          <w:p w:rsidR="007A420F" w:rsidRDefault="007A420F" w:rsidP="0098427D">
            <w:r>
              <w:t>Diagnosis of exclusion</w:t>
            </w:r>
          </w:p>
          <w:p w:rsidR="007A420F" w:rsidRDefault="007A420F" w:rsidP="0098427D"/>
          <w:p w:rsidR="007A420F" w:rsidRDefault="007A420F" w:rsidP="0098427D">
            <w:r>
              <w:t>MRI imaging may show plaques in brain and spinal cord</w:t>
            </w:r>
          </w:p>
          <w:p w:rsidR="007A420F" w:rsidRPr="00847140" w:rsidRDefault="007A420F" w:rsidP="0098427D"/>
        </w:tc>
        <w:tc>
          <w:tcPr>
            <w:tcW w:w="2016" w:type="dxa"/>
          </w:tcPr>
          <w:p w:rsidR="007A420F" w:rsidRPr="00847140" w:rsidRDefault="007A420F" w:rsidP="0098427D">
            <w:r w:rsidRPr="00847140">
              <w:t>Anti-inflammatory drugs</w:t>
            </w:r>
          </w:p>
          <w:p w:rsidR="007A420F" w:rsidRPr="00847140" w:rsidRDefault="007A420F" w:rsidP="0098427D">
            <w:r>
              <w:t>I</w:t>
            </w:r>
            <w:r w:rsidRPr="00847140">
              <w:t xml:space="preserve">mmune-modulating drugs </w:t>
            </w:r>
            <w:r>
              <w:t>I</w:t>
            </w:r>
            <w:r w:rsidRPr="00847140">
              <w:t>mmunosuppressive drugs</w:t>
            </w:r>
          </w:p>
        </w:tc>
      </w:tr>
      <w:tr w:rsidR="007A420F" w:rsidTr="0098427D">
        <w:tc>
          <w:tcPr>
            <w:tcW w:w="1975" w:type="dxa"/>
          </w:tcPr>
          <w:p w:rsidR="007A420F" w:rsidRPr="00521387" w:rsidRDefault="007A420F" w:rsidP="0098427D">
            <w:pPr>
              <w:rPr>
                <w:b/>
              </w:rPr>
            </w:pPr>
            <w:r w:rsidRPr="00521387">
              <w:rPr>
                <w:b/>
              </w:rPr>
              <w:t>Guillain-Barre</w:t>
            </w:r>
            <w:r>
              <w:rPr>
                <w:b/>
              </w:rPr>
              <w:t xml:space="preserve"> Syndrome</w:t>
            </w:r>
          </w:p>
        </w:tc>
        <w:tc>
          <w:tcPr>
            <w:tcW w:w="2051" w:type="dxa"/>
          </w:tcPr>
          <w:p w:rsidR="007A420F" w:rsidRDefault="007A420F" w:rsidP="0098427D">
            <w:r>
              <w:t>Transient, a</w:t>
            </w:r>
            <w:r w:rsidRPr="00847140">
              <w:t>utoimmune disorder that results in demyelination of primarily lower motor neurons</w:t>
            </w:r>
          </w:p>
          <w:p w:rsidR="007A420F" w:rsidRDefault="007A420F" w:rsidP="0098427D"/>
          <w:p w:rsidR="007A420F" w:rsidRPr="00847140" w:rsidRDefault="007A420F" w:rsidP="0098427D">
            <w:pPr>
              <w:rPr>
                <w:color w:val="0070C0"/>
              </w:rPr>
            </w:pPr>
            <w:r w:rsidRPr="00847140">
              <w:t>Sensory and autonomic neurons may be affected</w:t>
            </w:r>
          </w:p>
        </w:tc>
        <w:tc>
          <w:tcPr>
            <w:tcW w:w="2334" w:type="dxa"/>
          </w:tcPr>
          <w:p w:rsidR="007A420F" w:rsidRDefault="007A420F" w:rsidP="0098427D">
            <w:r w:rsidRPr="00847140">
              <w:t>Weakness/paralysis starts in the legs and spreads to the arms and face</w:t>
            </w:r>
          </w:p>
          <w:p w:rsidR="007A420F" w:rsidRPr="00847140" w:rsidRDefault="007A420F" w:rsidP="0098427D">
            <w:pPr>
              <w:rPr>
                <w:color w:val="0070C0"/>
              </w:rPr>
            </w:pPr>
          </w:p>
        </w:tc>
        <w:tc>
          <w:tcPr>
            <w:tcW w:w="2160" w:type="dxa"/>
          </w:tcPr>
          <w:p w:rsidR="007A420F" w:rsidRDefault="007A420F" w:rsidP="0098427D">
            <w:r w:rsidRPr="00847140">
              <w:t>Usually follows infection, inoculation</w:t>
            </w:r>
            <w:r>
              <w:t>, or surgery</w:t>
            </w:r>
          </w:p>
          <w:p w:rsidR="007A420F" w:rsidRDefault="007A420F" w:rsidP="0098427D"/>
          <w:p w:rsidR="007A420F" w:rsidRPr="00847140" w:rsidRDefault="007A420F" w:rsidP="0098427D"/>
        </w:tc>
        <w:tc>
          <w:tcPr>
            <w:tcW w:w="2016" w:type="dxa"/>
          </w:tcPr>
          <w:p w:rsidR="007A420F" w:rsidRDefault="007A420F" w:rsidP="0098427D">
            <w:r w:rsidRPr="00847140">
              <w:t>Plasmapheresis to remove anti-myelin antibodies</w:t>
            </w:r>
          </w:p>
          <w:p w:rsidR="007A420F" w:rsidRDefault="007A420F" w:rsidP="0098427D"/>
          <w:p w:rsidR="007A420F" w:rsidRDefault="007A420F" w:rsidP="0098427D">
            <w:r>
              <w:t>IV immunoglobulin to fight infections</w:t>
            </w:r>
          </w:p>
          <w:p w:rsidR="007A420F" w:rsidRDefault="007A420F" w:rsidP="0098427D"/>
          <w:p w:rsidR="007A420F" w:rsidRPr="00847140" w:rsidRDefault="007A420F" w:rsidP="0098427D">
            <w:pPr>
              <w:rPr>
                <w:color w:val="0070C0"/>
              </w:rPr>
            </w:pPr>
            <w:r>
              <w:t>Respiratory support may be required.</w:t>
            </w:r>
          </w:p>
        </w:tc>
      </w:tr>
      <w:tr w:rsidR="007A420F" w:rsidTr="0098427D">
        <w:tc>
          <w:tcPr>
            <w:tcW w:w="1975" w:type="dxa"/>
          </w:tcPr>
          <w:p w:rsidR="007A420F" w:rsidRDefault="007A420F" w:rsidP="0098427D">
            <w:pPr>
              <w:rPr>
                <w:b/>
              </w:rPr>
            </w:pPr>
            <w:proofErr w:type="spellStart"/>
            <w:r>
              <w:rPr>
                <w:b/>
              </w:rPr>
              <w:t>Amyotropic</w:t>
            </w:r>
            <w:proofErr w:type="spellEnd"/>
            <w:r>
              <w:rPr>
                <w:b/>
              </w:rPr>
              <w:t xml:space="preserve"> Lateral Sclerosis</w:t>
            </w:r>
          </w:p>
          <w:p w:rsidR="007A420F" w:rsidRPr="00521387" w:rsidRDefault="007A420F" w:rsidP="0098427D">
            <w:pPr>
              <w:rPr>
                <w:b/>
              </w:rPr>
            </w:pPr>
            <w:r>
              <w:rPr>
                <w:b/>
              </w:rPr>
              <w:t>(</w:t>
            </w:r>
            <w:r w:rsidRPr="00521387">
              <w:rPr>
                <w:b/>
              </w:rPr>
              <w:t>ALS</w:t>
            </w:r>
            <w:r>
              <w:rPr>
                <w:b/>
              </w:rPr>
              <w:t>)</w:t>
            </w:r>
          </w:p>
        </w:tc>
        <w:tc>
          <w:tcPr>
            <w:tcW w:w="2051" w:type="dxa"/>
          </w:tcPr>
          <w:p w:rsidR="007A420F" w:rsidRDefault="007A420F" w:rsidP="0098427D">
            <w:r w:rsidRPr="00521387">
              <w:t>Progressive degeneration and death of both the upper and lower motor neurons</w:t>
            </w:r>
          </w:p>
          <w:p w:rsidR="007A420F" w:rsidRDefault="007A420F" w:rsidP="0098427D"/>
          <w:p w:rsidR="007A420F" w:rsidRDefault="007A420F" w:rsidP="0098427D">
            <w:pPr>
              <w:rPr>
                <w:bCs/>
              </w:rPr>
            </w:pPr>
            <w:r w:rsidRPr="00506E38">
              <w:t xml:space="preserve">Mutations linked to a familial form are in the gene that codes for </w:t>
            </w:r>
            <w:r w:rsidRPr="00506E38">
              <w:rPr>
                <w:bCs/>
              </w:rPr>
              <w:t>superoxide dismutase 1 (SOD1)</w:t>
            </w:r>
          </w:p>
          <w:p w:rsidR="007A420F" w:rsidRDefault="007A420F" w:rsidP="0098427D">
            <w:pPr>
              <w:rPr>
                <w:bCs/>
              </w:rPr>
            </w:pPr>
          </w:p>
          <w:p w:rsidR="007A420F" w:rsidRPr="00521387" w:rsidRDefault="007A420F" w:rsidP="0098427D">
            <w:r>
              <w:rPr>
                <w:bCs/>
              </w:rPr>
              <w:t>High levels of glutamate in CSF may be present</w:t>
            </w:r>
          </w:p>
        </w:tc>
        <w:tc>
          <w:tcPr>
            <w:tcW w:w="2334" w:type="dxa"/>
          </w:tcPr>
          <w:p w:rsidR="007A420F" w:rsidRDefault="007A420F" w:rsidP="0098427D">
            <w:r w:rsidRPr="00521387">
              <w:t xml:space="preserve">Twitching, cramping and stiffness in hands and limbs and later weakness in muscles of swallowing, speech and respiration. </w:t>
            </w:r>
          </w:p>
          <w:p w:rsidR="007A420F" w:rsidRDefault="007A420F" w:rsidP="0098427D"/>
          <w:p w:rsidR="007A420F" w:rsidRPr="00521387" w:rsidRDefault="007A420F" w:rsidP="0098427D">
            <w:r w:rsidRPr="00521387">
              <w:t>Severe muscle atrophy</w:t>
            </w:r>
          </w:p>
        </w:tc>
        <w:tc>
          <w:tcPr>
            <w:tcW w:w="2160" w:type="dxa"/>
          </w:tcPr>
          <w:p w:rsidR="007A420F" w:rsidRPr="00521387" w:rsidRDefault="007A420F" w:rsidP="0098427D">
            <w:r w:rsidRPr="00521387">
              <w:t>Based on symptoms</w:t>
            </w:r>
          </w:p>
        </w:tc>
        <w:tc>
          <w:tcPr>
            <w:tcW w:w="2016" w:type="dxa"/>
          </w:tcPr>
          <w:p w:rsidR="007A420F" w:rsidRPr="00521387" w:rsidRDefault="007A420F" w:rsidP="0098427D">
            <w:r w:rsidRPr="00521387">
              <w:t>Riluzole drug (a glutamate inhibitor)</w:t>
            </w:r>
          </w:p>
        </w:tc>
      </w:tr>
      <w:tr w:rsidR="007A420F" w:rsidTr="0098427D">
        <w:tc>
          <w:tcPr>
            <w:tcW w:w="1975" w:type="dxa"/>
          </w:tcPr>
          <w:p w:rsidR="007A420F" w:rsidRPr="00521387" w:rsidRDefault="007A420F" w:rsidP="0098427D">
            <w:pPr>
              <w:rPr>
                <w:b/>
              </w:rPr>
            </w:pPr>
            <w:r w:rsidRPr="00521387">
              <w:rPr>
                <w:b/>
              </w:rPr>
              <w:t>Bell Palsy</w:t>
            </w:r>
          </w:p>
        </w:tc>
        <w:tc>
          <w:tcPr>
            <w:tcW w:w="2051" w:type="dxa"/>
          </w:tcPr>
          <w:p w:rsidR="007A420F" w:rsidRDefault="007A420F" w:rsidP="0098427D">
            <w:r w:rsidRPr="00521387">
              <w:t>Acute paralysis or paresis due to inflammatory injury to cranial nerve VII, the facial nerve</w:t>
            </w:r>
          </w:p>
          <w:p w:rsidR="007A420F" w:rsidRDefault="007A420F" w:rsidP="0098427D"/>
          <w:p w:rsidR="007A420F" w:rsidRPr="00521387" w:rsidRDefault="007A420F" w:rsidP="0098427D">
            <w:r>
              <w:lastRenderedPageBreak/>
              <w:t>May be triggered by viral infection</w:t>
            </w:r>
          </w:p>
        </w:tc>
        <w:tc>
          <w:tcPr>
            <w:tcW w:w="2334" w:type="dxa"/>
          </w:tcPr>
          <w:p w:rsidR="007A420F" w:rsidRPr="00521387" w:rsidRDefault="007A420F" w:rsidP="0098427D">
            <w:r w:rsidRPr="00521387">
              <w:lastRenderedPageBreak/>
              <w:t>Unilateral facial weakness with facial droop, diminished eye blink</w:t>
            </w:r>
          </w:p>
        </w:tc>
        <w:tc>
          <w:tcPr>
            <w:tcW w:w="2160" w:type="dxa"/>
          </w:tcPr>
          <w:p w:rsidR="007A420F" w:rsidRPr="00521387" w:rsidRDefault="007A420F" w:rsidP="0098427D">
            <w:r w:rsidRPr="00521387">
              <w:t>Based on symptoms</w:t>
            </w:r>
          </w:p>
        </w:tc>
        <w:tc>
          <w:tcPr>
            <w:tcW w:w="2016" w:type="dxa"/>
          </w:tcPr>
          <w:p w:rsidR="007A420F" w:rsidRDefault="007A420F" w:rsidP="0098427D">
            <w:r w:rsidRPr="00521387">
              <w:t>D</w:t>
            </w:r>
            <w:r>
              <w:t>rops, ointment and eye patching</w:t>
            </w:r>
          </w:p>
          <w:p w:rsidR="007A420F" w:rsidRDefault="007A420F" w:rsidP="0098427D"/>
          <w:p w:rsidR="007A420F" w:rsidRPr="00521387" w:rsidRDefault="007A420F" w:rsidP="0098427D">
            <w:r>
              <w:t>Corticosteroids  Antivirals</w:t>
            </w:r>
          </w:p>
        </w:tc>
      </w:tr>
    </w:tbl>
    <w:p w:rsidR="007A420F" w:rsidRDefault="007A420F" w:rsidP="007A420F">
      <w:pPr>
        <w:pStyle w:val="ListParagraph"/>
      </w:pPr>
    </w:p>
    <w:p w:rsidR="00FB4BE9" w:rsidRDefault="00FB4BE9" w:rsidP="00FB4BE9">
      <w:pPr>
        <w:pStyle w:val="ListParagraph"/>
        <w:numPr>
          <w:ilvl w:val="0"/>
          <w:numId w:val="1"/>
        </w:numPr>
      </w:pPr>
      <w:r>
        <w:t>Describe the risk factors and diagnosis of spina bifida.</w:t>
      </w:r>
    </w:p>
    <w:p w:rsidR="00FB4BE9" w:rsidRDefault="00FB4BE9" w:rsidP="00FB4BE9">
      <w:pPr>
        <w:pStyle w:val="ListParagraph"/>
        <w:numPr>
          <w:ilvl w:val="0"/>
          <w:numId w:val="1"/>
        </w:numPr>
      </w:pPr>
      <w:r w:rsidRPr="002524B9">
        <w:rPr>
          <w:b/>
        </w:rPr>
        <w:t>Contrast</w:t>
      </w:r>
      <w:r>
        <w:t xml:space="preserve"> the three forms of spina bifida (occulta, cystica with meningocele, and cystica with myelomeningocele) with respect to anatomy, manifestations and treatment.</w:t>
      </w:r>
    </w:p>
    <w:p w:rsidR="00FB4BE9" w:rsidRDefault="00FB4BE9" w:rsidP="00FB4BE9">
      <w:pPr>
        <w:pStyle w:val="ListParagraph"/>
        <w:numPr>
          <w:ilvl w:val="0"/>
          <w:numId w:val="1"/>
        </w:numPr>
      </w:pPr>
      <w:r>
        <w:t xml:space="preserve">Describe the relationship between spina bifida and these two chemicals: folic acid and </w:t>
      </w:r>
      <w:proofErr w:type="gramStart"/>
      <w:r>
        <w:t>alpha fetoprotein</w:t>
      </w:r>
      <w:proofErr w:type="gramEnd"/>
      <w:r>
        <w:t>.</w:t>
      </w:r>
    </w:p>
    <w:p w:rsidR="00FB4BE9" w:rsidRDefault="00FB4BE9" w:rsidP="00FB4BE9">
      <w:pPr>
        <w:pStyle w:val="ListParagraph"/>
        <w:numPr>
          <w:ilvl w:val="0"/>
          <w:numId w:val="1"/>
        </w:numPr>
      </w:pPr>
      <w:r>
        <w:t>Identify the most common cause of spinal cord injury.</w:t>
      </w:r>
    </w:p>
    <w:p w:rsidR="00FB4BE9" w:rsidRDefault="00FB4BE9" w:rsidP="00FB4BE9">
      <w:pPr>
        <w:pStyle w:val="ListParagraph"/>
        <w:numPr>
          <w:ilvl w:val="0"/>
          <w:numId w:val="1"/>
        </w:numPr>
      </w:pPr>
      <w:r>
        <w:t>Distinguish between hyperflexion and hyperextension of the cervical spinal cord with respect to severity and incidence.</w:t>
      </w:r>
    </w:p>
    <w:p w:rsidR="00FB4BE9" w:rsidRDefault="00FB4BE9" w:rsidP="00FB4BE9">
      <w:pPr>
        <w:pStyle w:val="ListParagraph"/>
        <w:numPr>
          <w:ilvl w:val="0"/>
          <w:numId w:val="1"/>
        </w:numPr>
      </w:pPr>
      <w:r>
        <w:t>List the four components of inflammation secondary to spinal cord injury.</w:t>
      </w:r>
    </w:p>
    <w:p w:rsidR="00FB4BE9" w:rsidRDefault="00FB4BE9" w:rsidP="00FB4BE9">
      <w:pPr>
        <w:pStyle w:val="ListParagraph"/>
        <w:numPr>
          <w:ilvl w:val="0"/>
          <w:numId w:val="1"/>
        </w:numPr>
      </w:pPr>
      <w:r>
        <w:t>Distinguish between spinal shock and neurogenic shock.</w:t>
      </w:r>
    </w:p>
    <w:p w:rsidR="00FB4BE9" w:rsidRDefault="00FB4BE9" w:rsidP="00FB4BE9">
      <w:pPr>
        <w:pStyle w:val="ListParagraph"/>
        <w:numPr>
          <w:ilvl w:val="0"/>
          <w:numId w:val="1"/>
        </w:numPr>
      </w:pPr>
      <w:r>
        <w:t>Describe, step-by-step, the etiology, pathogenesis and manifestations of autonomic dysreflexia.</w:t>
      </w:r>
    </w:p>
    <w:p w:rsidR="00FB4BE9" w:rsidRDefault="00FB4BE9" w:rsidP="00FB4BE9">
      <w:pPr>
        <w:rPr>
          <w:b/>
          <w:bCs/>
        </w:rPr>
      </w:pPr>
      <w:r w:rsidRPr="7A0089DA">
        <w:rPr>
          <w:b/>
          <w:bCs/>
        </w:rPr>
        <w:t>Lecture 7D</w:t>
      </w:r>
    </w:p>
    <w:p w:rsidR="00FB4BE9" w:rsidRDefault="00FB4BE9" w:rsidP="00FB4BE9">
      <w:pPr>
        <w:pStyle w:val="ListParagraph"/>
        <w:numPr>
          <w:ilvl w:val="0"/>
          <w:numId w:val="1"/>
        </w:numPr>
      </w:pPr>
      <w:r>
        <w:t xml:space="preserve">Describe the three regions of the inner ear </w:t>
      </w:r>
      <w:r w:rsidR="00671502">
        <w:t xml:space="preserve">(vestibule, semicircular canals, </w:t>
      </w:r>
      <w:proofErr w:type="gramStart"/>
      <w:r w:rsidR="00671502">
        <w:t>cochlea</w:t>
      </w:r>
      <w:proofErr w:type="gramEnd"/>
      <w:r w:rsidR="00671502">
        <w:t xml:space="preserve">) </w:t>
      </w:r>
      <w:r>
        <w:t>with respect to the names of their sensory receptors, the stimuli for the receptors and the cranial nerves that carry the impulses from the receptors to the brain.</w:t>
      </w:r>
    </w:p>
    <w:p w:rsidR="00FB4BE9" w:rsidRDefault="006211FA" w:rsidP="00FB4BE9">
      <w:pPr>
        <w:pStyle w:val="ListParagraph"/>
        <w:numPr>
          <w:ilvl w:val="0"/>
          <w:numId w:val="1"/>
        </w:numPr>
      </w:pPr>
      <w:r>
        <w:t xml:space="preserve">Name and describe the locations of the nuclei in the </w:t>
      </w:r>
      <w:r w:rsidR="002857AB">
        <w:t xml:space="preserve">ascending </w:t>
      </w:r>
      <w:r>
        <w:t>neural pathway from the equil</w:t>
      </w:r>
      <w:r w:rsidR="002857AB">
        <w:t xml:space="preserve">ibrium receptors cells to the brain. </w:t>
      </w:r>
    </w:p>
    <w:p w:rsidR="00FB4BE9" w:rsidRDefault="00FB4BE9" w:rsidP="00FB4BE9">
      <w:pPr>
        <w:pStyle w:val="ListParagraph"/>
        <w:numPr>
          <w:ilvl w:val="0"/>
          <w:numId w:val="1"/>
        </w:numPr>
      </w:pPr>
      <w:r>
        <w:t>Describe the structures (muscles and nerves) that maintain a visual focus in support of the sense of equilibrium.</w:t>
      </w:r>
    </w:p>
    <w:p w:rsidR="00FB4BE9" w:rsidRDefault="00FB4BE9" w:rsidP="00FB4BE9">
      <w:pPr>
        <w:pStyle w:val="ListParagraph"/>
        <w:numPr>
          <w:ilvl w:val="0"/>
          <w:numId w:val="1"/>
        </w:numPr>
      </w:pPr>
      <w:r>
        <w:t>Define vertigo.</w:t>
      </w:r>
    </w:p>
    <w:p w:rsidR="00FB4BE9" w:rsidRDefault="00FB4BE9" w:rsidP="00FB4BE9">
      <w:pPr>
        <w:pStyle w:val="ListParagraph"/>
        <w:numPr>
          <w:ilvl w:val="0"/>
          <w:numId w:val="1"/>
        </w:numPr>
      </w:pPr>
      <w:r>
        <w:t>Describe the pathway of sound waves</w:t>
      </w:r>
      <w:r w:rsidR="00671502">
        <w:t>/fluid vibrations</w:t>
      </w:r>
      <w:r>
        <w:t xml:space="preserve"> from the external environment to the receptor cells of the cochlea.</w:t>
      </w:r>
    </w:p>
    <w:p w:rsidR="00FB4BE9" w:rsidRDefault="00FB4BE9" w:rsidP="00FB4BE9">
      <w:pPr>
        <w:pStyle w:val="ListParagraph"/>
        <w:numPr>
          <w:ilvl w:val="0"/>
          <w:numId w:val="1"/>
        </w:numPr>
      </w:pPr>
      <w:r>
        <w:t>Describe the pathway of the neural impulse from the receptor cells of the cochlea to the cerebral cortex.</w:t>
      </w:r>
    </w:p>
    <w:p w:rsidR="00FB4BE9" w:rsidRDefault="00FB4BE9" w:rsidP="00FB4BE9">
      <w:pPr>
        <w:pStyle w:val="ListParagraph"/>
        <w:numPr>
          <w:ilvl w:val="0"/>
          <w:numId w:val="1"/>
        </w:numPr>
      </w:pPr>
      <w:r w:rsidRPr="000F7394">
        <w:rPr>
          <w:b/>
        </w:rPr>
        <w:t>Contrast</w:t>
      </w:r>
      <w:r>
        <w:t xml:space="preserve"> conductive and sensorineural hearing loss with respect to etiology, manifestations and treatment.</w:t>
      </w:r>
    </w:p>
    <w:p w:rsidR="00FB4BE9" w:rsidRDefault="00FB4BE9" w:rsidP="00FB4BE9">
      <w:pPr>
        <w:pStyle w:val="ListParagraph"/>
        <w:numPr>
          <w:ilvl w:val="0"/>
          <w:numId w:val="1"/>
        </w:numPr>
      </w:pPr>
      <w:r>
        <w:t>Explain the etiology, pathogenesis and treatment of otitis media in children.</w:t>
      </w:r>
    </w:p>
    <w:p w:rsidR="00FB4BE9" w:rsidRDefault="00FB4BE9" w:rsidP="00FB4BE9">
      <w:pPr>
        <w:pStyle w:val="ListParagraph"/>
        <w:numPr>
          <w:ilvl w:val="0"/>
          <w:numId w:val="1"/>
        </w:numPr>
      </w:pPr>
      <w:r>
        <w:t>List and describe the four etiologies of presbycusis.</w:t>
      </w:r>
    </w:p>
    <w:p w:rsidR="00FB4BE9" w:rsidRDefault="00FB4BE9" w:rsidP="00FB4BE9">
      <w:pPr>
        <w:pStyle w:val="ListParagraph"/>
        <w:numPr>
          <w:ilvl w:val="0"/>
          <w:numId w:val="1"/>
        </w:numPr>
      </w:pPr>
      <w:r>
        <w:t>Describe the etiology, pathogenesis and diagnosis of Meniere disease.</w:t>
      </w:r>
    </w:p>
    <w:p w:rsidR="00FB4BE9" w:rsidRDefault="00FB4BE9" w:rsidP="00FB4BE9">
      <w:pPr>
        <w:pStyle w:val="ListParagraph"/>
        <w:numPr>
          <w:ilvl w:val="0"/>
          <w:numId w:val="1"/>
        </w:numPr>
      </w:pPr>
      <w:r>
        <w:t>List the transparent structures of the eye in the order that light passes through them on its way to the light receptors of the retina.</w:t>
      </w:r>
    </w:p>
    <w:p w:rsidR="00FB4BE9" w:rsidRDefault="00FB4BE9" w:rsidP="00FB4BE9">
      <w:pPr>
        <w:pStyle w:val="ListParagraph"/>
        <w:numPr>
          <w:ilvl w:val="0"/>
          <w:numId w:val="1"/>
        </w:numPr>
      </w:pPr>
      <w:r>
        <w:t xml:space="preserve">List the structures in the neural pathway of vision beginning at the nasal half of the retina of the right eye and ending at the cerebral cortex. </w:t>
      </w:r>
      <w:r w:rsidR="00671502">
        <w:t>(Careful here! Do these fibers decussate?)</w:t>
      </w:r>
    </w:p>
    <w:p w:rsidR="00FB4BE9" w:rsidRDefault="00FB4BE9" w:rsidP="00FB4BE9">
      <w:pPr>
        <w:pStyle w:val="ListParagraph"/>
        <w:numPr>
          <w:ilvl w:val="0"/>
          <w:numId w:val="1"/>
        </w:numPr>
      </w:pPr>
      <w:r>
        <w:t xml:space="preserve">List the structures in the neural pathway of vision beginning at the temporal half of the retina of the right eye and ending at the cerebral cortex. </w:t>
      </w:r>
      <w:r w:rsidR="00671502">
        <w:t>(Careful here! Do these fibers decussate?)</w:t>
      </w:r>
    </w:p>
    <w:p w:rsidR="00FB4BE9" w:rsidRDefault="00FB4BE9" w:rsidP="00FB4BE9">
      <w:pPr>
        <w:pStyle w:val="ListParagraph"/>
        <w:numPr>
          <w:ilvl w:val="0"/>
          <w:numId w:val="1"/>
        </w:numPr>
      </w:pPr>
      <w:r w:rsidRPr="00271610">
        <w:rPr>
          <w:b/>
        </w:rPr>
        <w:t>Contrast</w:t>
      </w:r>
      <w:r w:rsidRPr="001C143C">
        <w:t xml:space="preserve"> the area of field blindness in the case of injury to an optic nerve (left vs right) vs the optic chiasma vs an optic tract (left vs right).</w:t>
      </w:r>
      <w:r>
        <w:t xml:space="preserve"> (Table provided) </w:t>
      </w:r>
    </w:p>
    <w:p w:rsidR="007A420F" w:rsidRDefault="007A420F" w:rsidP="007A420F">
      <w:pPr>
        <w:pStyle w:val="ListParagraph"/>
        <w:rPr>
          <w:b/>
        </w:rPr>
      </w:pPr>
    </w:p>
    <w:tbl>
      <w:tblPr>
        <w:tblStyle w:val="TableGrid"/>
        <w:tblW w:w="0" w:type="auto"/>
        <w:tblInd w:w="175" w:type="dxa"/>
        <w:tblLook w:val="04A0" w:firstRow="1" w:lastRow="0" w:firstColumn="1" w:lastColumn="0" w:noHBand="0" w:noVBand="1"/>
      </w:tblPr>
      <w:tblGrid>
        <w:gridCol w:w="1594"/>
        <w:gridCol w:w="1769"/>
        <w:gridCol w:w="1769"/>
        <w:gridCol w:w="1769"/>
        <w:gridCol w:w="1769"/>
        <w:gridCol w:w="1770"/>
      </w:tblGrid>
      <w:tr w:rsidR="007A420F" w:rsidTr="007A420F">
        <w:tc>
          <w:tcPr>
            <w:tcW w:w="1594" w:type="dxa"/>
          </w:tcPr>
          <w:p w:rsidR="007A420F" w:rsidRDefault="007A420F" w:rsidP="0098427D">
            <w:pPr>
              <w:rPr>
                <w:b/>
              </w:rPr>
            </w:pPr>
            <w:r>
              <w:rPr>
                <w:b/>
              </w:rPr>
              <w:t>Injury (</w:t>
            </w:r>
            <w:proofErr w:type="spellStart"/>
            <w:r>
              <w:rPr>
                <w:b/>
              </w:rPr>
              <w:t>Severence</w:t>
            </w:r>
            <w:proofErr w:type="spellEnd"/>
            <w:r>
              <w:rPr>
                <w:b/>
              </w:rPr>
              <w:t>) Location</w:t>
            </w:r>
          </w:p>
        </w:tc>
        <w:tc>
          <w:tcPr>
            <w:tcW w:w="1769" w:type="dxa"/>
          </w:tcPr>
          <w:p w:rsidR="007A420F" w:rsidRDefault="007A420F" w:rsidP="0098427D">
            <w:pPr>
              <w:rPr>
                <w:b/>
              </w:rPr>
            </w:pPr>
            <w:r>
              <w:rPr>
                <w:b/>
              </w:rPr>
              <w:t>Right Optic Nerve</w:t>
            </w:r>
          </w:p>
        </w:tc>
        <w:tc>
          <w:tcPr>
            <w:tcW w:w="1769" w:type="dxa"/>
          </w:tcPr>
          <w:p w:rsidR="007A420F" w:rsidRDefault="007A420F" w:rsidP="0098427D">
            <w:pPr>
              <w:rPr>
                <w:b/>
              </w:rPr>
            </w:pPr>
            <w:r>
              <w:rPr>
                <w:b/>
              </w:rPr>
              <w:t>Left Optic Nerve</w:t>
            </w:r>
          </w:p>
        </w:tc>
        <w:tc>
          <w:tcPr>
            <w:tcW w:w="1769" w:type="dxa"/>
          </w:tcPr>
          <w:p w:rsidR="007A420F" w:rsidRDefault="007A420F" w:rsidP="0098427D">
            <w:pPr>
              <w:rPr>
                <w:b/>
              </w:rPr>
            </w:pPr>
            <w:r>
              <w:rPr>
                <w:b/>
              </w:rPr>
              <w:t>Optic Chiasma</w:t>
            </w:r>
          </w:p>
        </w:tc>
        <w:tc>
          <w:tcPr>
            <w:tcW w:w="1769" w:type="dxa"/>
          </w:tcPr>
          <w:p w:rsidR="007A420F" w:rsidRDefault="007A420F" w:rsidP="0098427D">
            <w:pPr>
              <w:rPr>
                <w:b/>
              </w:rPr>
            </w:pPr>
            <w:r>
              <w:rPr>
                <w:b/>
              </w:rPr>
              <w:t>Right Optic Tract</w:t>
            </w:r>
          </w:p>
        </w:tc>
        <w:tc>
          <w:tcPr>
            <w:tcW w:w="1770" w:type="dxa"/>
          </w:tcPr>
          <w:p w:rsidR="007A420F" w:rsidRDefault="007A420F" w:rsidP="0098427D">
            <w:pPr>
              <w:rPr>
                <w:b/>
              </w:rPr>
            </w:pPr>
            <w:r>
              <w:rPr>
                <w:b/>
              </w:rPr>
              <w:t>Left Optic Tract</w:t>
            </w:r>
          </w:p>
        </w:tc>
      </w:tr>
      <w:tr w:rsidR="007A420F" w:rsidTr="007A420F">
        <w:tc>
          <w:tcPr>
            <w:tcW w:w="1594" w:type="dxa"/>
          </w:tcPr>
          <w:p w:rsidR="007A420F" w:rsidRDefault="007A420F" w:rsidP="0098427D">
            <w:pPr>
              <w:rPr>
                <w:b/>
              </w:rPr>
            </w:pPr>
            <w:r>
              <w:rPr>
                <w:b/>
              </w:rPr>
              <w:t>Region of Field Blindness</w:t>
            </w:r>
          </w:p>
        </w:tc>
        <w:tc>
          <w:tcPr>
            <w:tcW w:w="1769" w:type="dxa"/>
          </w:tcPr>
          <w:p w:rsidR="007A420F" w:rsidRPr="005957A3" w:rsidRDefault="007A420F" w:rsidP="0098427D">
            <w:r w:rsidRPr="005957A3">
              <w:t>Loss of impulses from both nasal and temporal regions of the right retina causes complete blindness in right visual field.</w:t>
            </w:r>
          </w:p>
        </w:tc>
        <w:tc>
          <w:tcPr>
            <w:tcW w:w="1769" w:type="dxa"/>
          </w:tcPr>
          <w:p w:rsidR="007A420F" w:rsidRDefault="007A420F" w:rsidP="0098427D">
            <w:pPr>
              <w:rPr>
                <w:b/>
              </w:rPr>
            </w:pPr>
            <w:r w:rsidRPr="005957A3">
              <w:t xml:space="preserve">Loss of impulses from both nasal and temporal regions </w:t>
            </w:r>
            <w:r>
              <w:t>of the lef</w:t>
            </w:r>
            <w:r w:rsidRPr="005957A3">
              <w:t xml:space="preserve">t retina causes complete </w:t>
            </w:r>
            <w:r>
              <w:t>blindness in left</w:t>
            </w:r>
            <w:r w:rsidRPr="005957A3">
              <w:t xml:space="preserve"> visual field.</w:t>
            </w:r>
          </w:p>
        </w:tc>
        <w:tc>
          <w:tcPr>
            <w:tcW w:w="1769" w:type="dxa"/>
          </w:tcPr>
          <w:p w:rsidR="007A420F" w:rsidRDefault="007A420F" w:rsidP="0098427D">
            <w:r w:rsidRPr="005957A3">
              <w:t>Loss of impuls</w:t>
            </w:r>
            <w:r>
              <w:t xml:space="preserve">es from both nasal </w:t>
            </w:r>
            <w:r w:rsidRPr="005957A3">
              <w:t xml:space="preserve">regions </w:t>
            </w:r>
            <w:r>
              <w:t xml:space="preserve">of both </w:t>
            </w:r>
            <w:r w:rsidRPr="005957A3">
              <w:t>retina</w:t>
            </w:r>
            <w:r>
              <w:t>s causes blindness in the temporal regions of both</w:t>
            </w:r>
            <w:r w:rsidRPr="005957A3">
              <w:t xml:space="preserve"> visual field</w:t>
            </w:r>
            <w:r>
              <w:t>s</w:t>
            </w:r>
            <w:r w:rsidRPr="005957A3">
              <w:t>.</w:t>
            </w:r>
          </w:p>
          <w:p w:rsidR="007A420F" w:rsidRDefault="007A420F" w:rsidP="0098427D"/>
          <w:p w:rsidR="007A420F" w:rsidRPr="0073407F" w:rsidRDefault="007A420F" w:rsidP="0098427D">
            <w:pPr>
              <w:rPr>
                <w:b/>
              </w:rPr>
            </w:pPr>
            <w:r w:rsidRPr="0073407F">
              <w:rPr>
                <w:b/>
              </w:rPr>
              <w:t>Bitemporal hemianopsia</w:t>
            </w:r>
          </w:p>
        </w:tc>
        <w:tc>
          <w:tcPr>
            <w:tcW w:w="1769" w:type="dxa"/>
          </w:tcPr>
          <w:p w:rsidR="007A420F" w:rsidRDefault="007A420F" w:rsidP="0098427D">
            <w:r w:rsidRPr="005957A3">
              <w:t>Loss of impuls</w:t>
            </w:r>
            <w:r>
              <w:t>es from the temporal region of the right retina and the nasal region of the left retina causes blindness in the nasal region of the right visual field and the temporal region of the left visual field (blindness in the left half of both visual fields).</w:t>
            </w:r>
          </w:p>
          <w:p w:rsidR="007A420F" w:rsidRDefault="007A420F" w:rsidP="0098427D"/>
          <w:p w:rsidR="007A420F" w:rsidRDefault="007A420F" w:rsidP="0098427D">
            <w:pPr>
              <w:rPr>
                <w:b/>
              </w:rPr>
            </w:pPr>
            <w:r w:rsidRPr="0073407F">
              <w:rPr>
                <w:b/>
              </w:rPr>
              <w:t xml:space="preserve">Left </w:t>
            </w:r>
            <w:r w:rsidRPr="0019009A">
              <w:rPr>
                <w:b/>
              </w:rPr>
              <w:t>homonymous hemianopsia</w:t>
            </w:r>
          </w:p>
        </w:tc>
        <w:tc>
          <w:tcPr>
            <w:tcW w:w="1770" w:type="dxa"/>
          </w:tcPr>
          <w:p w:rsidR="007A420F" w:rsidRDefault="007A420F" w:rsidP="0098427D">
            <w:r w:rsidRPr="005957A3">
              <w:t>Loss of impuls</w:t>
            </w:r>
            <w:r>
              <w:t>es from the nasal region of the right retina and the temporal region of the left retina causes blindness in the temporal region of the right visual field and the nasal region of the left visual field (blindness in the right half of both visual fields).</w:t>
            </w:r>
          </w:p>
          <w:p w:rsidR="007A420F" w:rsidRDefault="007A420F" w:rsidP="0098427D">
            <w:pPr>
              <w:rPr>
                <w:b/>
              </w:rPr>
            </w:pPr>
          </w:p>
          <w:p w:rsidR="007A420F" w:rsidRDefault="007A420F" w:rsidP="0098427D">
            <w:pPr>
              <w:rPr>
                <w:b/>
              </w:rPr>
            </w:pPr>
          </w:p>
          <w:p w:rsidR="007A420F" w:rsidRDefault="007A420F" w:rsidP="0098427D">
            <w:pPr>
              <w:rPr>
                <w:b/>
              </w:rPr>
            </w:pPr>
            <w:r>
              <w:rPr>
                <w:b/>
              </w:rPr>
              <w:t xml:space="preserve">Right </w:t>
            </w:r>
            <w:r w:rsidRPr="0019009A">
              <w:rPr>
                <w:b/>
              </w:rPr>
              <w:t>homonymous hemianopsia</w:t>
            </w:r>
          </w:p>
        </w:tc>
      </w:tr>
    </w:tbl>
    <w:p w:rsidR="007A420F" w:rsidRPr="001C143C" w:rsidRDefault="007A420F" w:rsidP="007A420F">
      <w:pPr>
        <w:pStyle w:val="ListParagraph"/>
      </w:pPr>
    </w:p>
    <w:p w:rsidR="00FB4BE9" w:rsidRDefault="00FB4BE9" w:rsidP="00FB4BE9">
      <w:pPr>
        <w:pStyle w:val="ListParagraph"/>
        <w:numPr>
          <w:ilvl w:val="0"/>
          <w:numId w:val="1"/>
        </w:numPr>
      </w:pPr>
      <w:r>
        <w:t>Define strabismus and describe its cause, manifestations and treatments.</w:t>
      </w:r>
    </w:p>
    <w:p w:rsidR="00FB4BE9" w:rsidRDefault="00FB4BE9" w:rsidP="00FB4BE9">
      <w:pPr>
        <w:pStyle w:val="ListParagraph"/>
        <w:numPr>
          <w:ilvl w:val="0"/>
          <w:numId w:val="1"/>
        </w:numPr>
      </w:pPr>
      <w:r>
        <w:t>Define cataract and describe its etiology, manifestations and treatment.</w:t>
      </w:r>
    </w:p>
    <w:p w:rsidR="00FB4BE9" w:rsidRDefault="00FB4BE9" w:rsidP="00FB4BE9">
      <w:pPr>
        <w:pStyle w:val="ListParagraph"/>
        <w:numPr>
          <w:ilvl w:val="0"/>
          <w:numId w:val="1"/>
        </w:numPr>
      </w:pPr>
      <w:r w:rsidRPr="00463F20">
        <w:rPr>
          <w:b/>
        </w:rPr>
        <w:t>Contrast</w:t>
      </w:r>
      <w:r>
        <w:t xml:space="preserve"> refractive disorders with respect to the structural abnormality involved and the type of corrective lenses required for treatment.</w:t>
      </w:r>
      <w:r w:rsidRPr="00271610">
        <w:t xml:space="preserve"> </w:t>
      </w:r>
      <w:proofErr w:type="gramStart"/>
      <w:r>
        <w:t>myopia</w:t>
      </w:r>
      <w:proofErr w:type="gramEnd"/>
      <w:r>
        <w:t>, hyperopia, presbyopia, and astigmatism. (Table provided)</w:t>
      </w:r>
    </w:p>
    <w:tbl>
      <w:tblPr>
        <w:tblW w:w="0" w:type="auto"/>
        <w:tblInd w:w="359" w:type="dxa"/>
        <w:tblLayout w:type="fixed"/>
        <w:tblCellMar>
          <w:top w:w="55" w:type="dxa"/>
          <w:left w:w="55" w:type="dxa"/>
          <w:bottom w:w="55" w:type="dxa"/>
          <w:right w:w="55" w:type="dxa"/>
        </w:tblCellMar>
        <w:tblLook w:val="0000" w:firstRow="0" w:lastRow="0" w:firstColumn="0" w:lastColumn="0" w:noHBand="0" w:noVBand="0"/>
      </w:tblPr>
      <w:tblGrid>
        <w:gridCol w:w="2960"/>
        <w:gridCol w:w="3323"/>
        <w:gridCol w:w="3325"/>
      </w:tblGrid>
      <w:tr w:rsidR="007A420F" w:rsidTr="007A420F">
        <w:tc>
          <w:tcPr>
            <w:tcW w:w="2960" w:type="dxa"/>
            <w:tcBorders>
              <w:top w:val="single" w:sz="1" w:space="0" w:color="000000"/>
              <w:left w:val="single" w:sz="1" w:space="0" w:color="000000"/>
              <w:bottom w:val="single" w:sz="1" w:space="0" w:color="000000"/>
            </w:tcBorders>
            <w:shd w:val="clear" w:color="auto" w:fill="auto"/>
          </w:tcPr>
          <w:p w:rsidR="007A420F" w:rsidRPr="00A106E1" w:rsidRDefault="007A420F" w:rsidP="0098427D">
            <w:pPr>
              <w:pStyle w:val="TableContents"/>
              <w:rPr>
                <w:rFonts w:ascii="Arial" w:eastAsia="Calibri" w:hAnsi="Arial" w:cs="Calibri"/>
                <w:b/>
                <w:bCs/>
                <w:sz w:val="20"/>
                <w:szCs w:val="20"/>
              </w:rPr>
            </w:pPr>
            <w:r w:rsidRPr="00A106E1">
              <w:rPr>
                <w:rFonts w:ascii="Arial" w:hAnsi="Arial"/>
                <w:b/>
                <w:bCs/>
                <w:sz w:val="20"/>
                <w:szCs w:val="20"/>
              </w:rPr>
              <w:t>Myopia “Near Sightedness”</w:t>
            </w:r>
          </w:p>
        </w:tc>
        <w:tc>
          <w:tcPr>
            <w:tcW w:w="3323" w:type="dxa"/>
            <w:tcBorders>
              <w:top w:val="single" w:sz="1" w:space="0" w:color="000000"/>
              <w:left w:val="single" w:sz="1" w:space="0" w:color="000000"/>
              <w:bottom w:val="single" w:sz="1" w:space="0" w:color="000000"/>
            </w:tcBorders>
            <w:shd w:val="clear" w:color="auto" w:fill="auto"/>
          </w:tcPr>
          <w:p w:rsidR="007A420F" w:rsidRDefault="007A420F" w:rsidP="0098427D">
            <w:pPr>
              <w:pStyle w:val="Default1LTGliederung1"/>
              <w:rPr>
                <w:rFonts w:ascii="Arial" w:eastAsia="Calibri" w:hAnsi="Arial" w:cs="Calibri"/>
                <w:bCs/>
                <w:color w:val="auto"/>
                <w:sz w:val="20"/>
                <w:szCs w:val="20"/>
              </w:rPr>
            </w:pPr>
            <w:r w:rsidRPr="00A106E1">
              <w:rPr>
                <w:rFonts w:ascii="Arial" w:eastAsia="Calibri" w:hAnsi="Arial" w:cs="Calibri"/>
                <w:bCs/>
                <w:color w:val="auto"/>
                <w:sz w:val="20"/>
                <w:szCs w:val="20"/>
              </w:rPr>
              <w:t>Eyeball too long</w:t>
            </w:r>
          </w:p>
          <w:p w:rsidR="007A420F" w:rsidRDefault="007A420F" w:rsidP="0098427D">
            <w:pPr>
              <w:pStyle w:val="Default1LTGliederung1"/>
              <w:rPr>
                <w:rFonts w:ascii="Arial" w:eastAsia="Calibri" w:hAnsi="Arial" w:cs="Calibri"/>
                <w:bCs/>
                <w:color w:val="auto"/>
                <w:sz w:val="20"/>
                <w:szCs w:val="20"/>
              </w:rPr>
            </w:pPr>
            <w:r w:rsidRPr="00A106E1">
              <w:rPr>
                <w:rFonts w:ascii="Arial" w:eastAsia="Calibri" w:hAnsi="Arial" w:cs="Calibri"/>
                <w:bCs/>
                <w:color w:val="auto"/>
                <w:sz w:val="20"/>
                <w:szCs w:val="20"/>
              </w:rPr>
              <w:br/>
              <w:t>Light comes to a focus in front of the retina.</w:t>
            </w:r>
          </w:p>
          <w:p w:rsidR="007A420F" w:rsidRPr="00A106E1" w:rsidRDefault="007A420F" w:rsidP="0098427D">
            <w:pPr>
              <w:pStyle w:val="Default1LTGliederung1"/>
              <w:rPr>
                <w:rFonts w:ascii="Arial" w:eastAsia="Calibri" w:hAnsi="Arial" w:cs="Calibri"/>
                <w:bCs/>
                <w:color w:val="auto"/>
                <w:sz w:val="20"/>
                <w:szCs w:val="20"/>
              </w:rPr>
            </w:pPr>
            <w:r w:rsidRPr="00A106E1">
              <w:rPr>
                <w:rFonts w:ascii="Arial" w:eastAsia="Calibri" w:hAnsi="Arial" w:cs="Calibri"/>
                <w:bCs/>
                <w:color w:val="auto"/>
                <w:sz w:val="20"/>
                <w:szCs w:val="20"/>
              </w:rPr>
              <w:br/>
              <w:t>Distant objects not clear</w:t>
            </w:r>
          </w:p>
        </w:tc>
        <w:tc>
          <w:tcPr>
            <w:tcW w:w="3325" w:type="dxa"/>
            <w:tcBorders>
              <w:top w:val="single" w:sz="1" w:space="0" w:color="000000"/>
              <w:left w:val="single" w:sz="1" w:space="0" w:color="000000"/>
              <w:bottom w:val="single" w:sz="1" w:space="0" w:color="000000"/>
              <w:right w:val="single" w:sz="1" w:space="0" w:color="000000"/>
            </w:tcBorders>
            <w:shd w:val="clear" w:color="auto" w:fill="auto"/>
          </w:tcPr>
          <w:p w:rsidR="007A420F" w:rsidRPr="00A106E1" w:rsidRDefault="007A420F" w:rsidP="0098427D">
            <w:pPr>
              <w:pStyle w:val="Default1LTGliederung2"/>
              <w:spacing w:before="100" w:after="283"/>
              <w:rPr>
                <w:color w:val="auto"/>
              </w:rPr>
            </w:pPr>
            <w:r w:rsidRPr="00A106E1">
              <w:rPr>
                <w:rFonts w:ascii="Arial" w:eastAsia="Calibri" w:hAnsi="Arial" w:cs="Calibri"/>
                <w:bCs/>
                <w:color w:val="auto"/>
                <w:sz w:val="20"/>
                <w:szCs w:val="20"/>
              </w:rPr>
              <w:t xml:space="preserve">Concave corrective lenses </w:t>
            </w:r>
          </w:p>
        </w:tc>
      </w:tr>
      <w:tr w:rsidR="007A420F" w:rsidTr="007A420F">
        <w:tc>
          <w:tcPr>
            <w:tcW w:w="2960" w:type="dxa"/>
            <w:tcBorders>
              <w:left w:val="single" w:sz="1" w:space="0" w:color="000000"/>
              <w:bottom w:val="single" w:sz="1" w:space="0" w:color="000000"/>
            </w:tcBorders>
            <w:shd w:val="clear" w:color="auto" w:fill="auto"/>
          </w:tcPr>
          <w:p w:rsidR="007A420F" w:rsidRPr="00A106E1" w:rsidRDefault="007A420F" w:rsidP="0098427D">
            <w:pPr>
              <w:pStyle w:val="TableContents"/>
              <w:rPr>
                <w:rFonts w:ascii="Arial" w:eastAsia="Calibri" w:hAnsi="Arial" w:cs="Calibri"/>
                <w:b/>
                <w:bCs/>
                <w:sz w:val="20"/>
                <w:szCs w:val="20"/>
              </w:rPr>
            </w:pPr>
            <w:r w:rsidRPr="00A106E1">
              <w:rPr>
                <w:rFonts w:ascii="Arial" w:hAnsi="Arial"/>
                <w:b/>
                <w:bCs/>
                <w:sz w:val="20"/>
                <w:szCs w:val="20"/>
              </w:rPr>
              <w:t>Hyperopia “Far Sightedness”</w:t>
            </w:r>
          </w:p>
        </w:tc>
        <w:tc>
          <w:tcPr>
            <w:tcW w:w="3323" w:type="dxa"/>
            <w:tcBorders>
              <w:left w:val="single" w:sz="1" w:space="0" w:color="000000"/>
              <w:bottom w:val="single" w:sz="1" w:space="0" w:color="000000"/>
            </w:tcBorders>
            <w:shd w:val="clear" w:color="auto" w:fill="auto"/>
          </w:tcPr>
          <w:p w:rsidR="007A420F" w:rsidRDefault="007A420F" w:rsidP="0098427D">
            <w:pPr>
              <w:pStyle w:val="Default1LTGliederung1"/>
              <w:rPr>
                <w:rFonts w:ascii="Arial" w:eastAsia="Calibri" w:hAnsi="Arial" w:cs="Calibri"/>
                <w:bCs/>
                <w:color w:val="auto"/>
                <w:sz w:val="20"/>
                <w:szCs w:val="20"/>
              </w:rPr>
            </w:pPr>
            <w:r w:rsidRPr="00A106E1">
              <w:rPr>
                <w:rFonts w:ascii="Arial" w:eastAsia="Calibri" w:hAnsi="Arial" w:cs="Calibri"/>
                <w:bCs/>
                <w:color w:val="auto"/>
                <w:sz w:val="20"/>
                <w:szCs w:val="20"/>
              </w:rPr>
              <w:t>Eyeball too short</w:t>
            </w:r>
          </w:p>
          <w:p w:rsidR="007A420F" w:rsidRDefault="007A420F" w:rsidP="0098427D">
            <w:pPr>
              <w:pStyle w:val="Default1LTGliederung1"/>
              <w:rPr>
                <w:rFonts w:ascii="Arial" w:eastAsia="Calibri" w:hAnsi="Arial" w:cs="Calibri"/>
                <w:bCs/>
                <w:color w:val="auto"/>
                <w:sz w:val="20"/>
                <w:szCs w:val="20"/>
              </w:rPr>
            </w:pPr>
            <w:r w:rsidRPr="00A106E1">
              <w:rPr>
                <w:rFonts w:ascii="Arial" w:eastAsia="Calibri" w:hAnsi="Arial" w:cs="Calibri"/>
                <w:bCs/>
                <w:color w:val="auto"/>
                <w:sz w:val="20"/>
                <w:szCs w:val="20"/>
              </w:rPr>
              <w:br/>
              <w:t xml:space="preserve">Light comes to a focus behind the retina. (Light </w:t>
            </w:r>
            <w:proofErr w:type="gramStart"/>
            <w:r w:rsidRPr="00A106E1">
              <w:rPr>
                <w:rFonts w:ascii="Arial" w:eastAsia="Calibri" w:hAnsi="Arial" w:cs="Calibri"/>
                <w:bCs/>
                <w:color w:val="auto"/>
                <w:sz w:val="20"/>
                <w:szCs w:val="20"/>
              </w:rPr>
              <w:t>is not yet focused</w:t>
            </w:r>
            <w:proofErr w:type="gramEnd"/>
            <w:r w:rsidRPr="00A106E1">
              <w:rPr>
                <w:rFonts w:ascii="Arial" w:eastAsia="Calibri" w:hAnsi="Arial" w:cs="Calibri"/>
                <w:bCs/>
                <w:color w:val="auto"/>
                <w:sz w:val="20"/>
                <w:szCs w:val="20"/>
              </w:rPr>
              <w:t xml:space="preserve"> when it reaches the retina.)</w:t>
            </w:r>
          </w:p>
          <w:p w:rsidR="007A420F" w:rsidRPr="00A106E1" w:rsidRDefault="007A420F" w:rsidP="0098427D">
            <w:pPr>
              <w:pStyle w:val="Default1LTGliederung1"/>
              <w:rPr>
                <w:rFonts w:ascii="Arial" w:eastAsia="Calibri" w:hAnsi="Arial" w:cs="Calibri"/>
                <w:bCs/>
                <w:color w:val="auto"/>
                <w:sz w:val="20"/>
                <w:szCs w:val="20"/>
              </w:rPr>
            </w:pPr>
            <w:r w:rsidRPr="00A106E1">
              <w:rPr>
                <w:rFonts w:ascii="Arial" w:eastAsia="Calibri" w:hAnsi="Arial" w:cs="Calibri"/>
                <w:bCs/>
                <w:color w:val="auto"/>
                <w:sz w:val="20"/>
                <w:szCs w:val="20"/>
              </w:rPr>
              <w:br/>
              <w:t>Near objects not clear</w:t>
            </w:r>
          </w:p>
        </w:tc>
        <w:tc>
          <w:tcPr>
            <w:tcW w:w="3325" w:type="dxa"/>
            <w:tcBorders>
              <w:left w:val="single" w:sz="1" w:space="0" w:color="000000"/>
              <w:bottom w:val="single" w:sz="1" w:space="0" w:color="000000"/>
              <w:right w:val="single" w:sz="1" w:space="0" w:color="000000"/>
            </w:tcBorders>
            <w:shd w:val="clear" w:color="auto" w:fill="auto"/>
          </w:tcPr>
          <w:p w:rsidR="007A420F" w:rsidRPr="00A106E1" w:rsidRDefault="007A420F" w:rsidP="0098427D">
            <w:pPr>
              <w:pStyle w:val="Default1LTGliederung2"/>
              <w:spacing w:before="100" w:after="283"/>
              <w:rPr>
                <w:color w:val="auto"/>
              </w:rPr>
            </w:pPr>
            <w:r w:rsidRPr="00A106E1">
              <w:rPr>
                <w:rFonts w:ascii="Arial" w:eastAsia="Calibri" w:hAnsi="Arial" w:cs="Calibri"/>
                <w:bCs/>
                <w:color w:val="auto"/>
                <w:sz w:val="20"/>
                <w:szCs w:val="20"/>
              </w:rPr>
              <w:t xml:space="preserve">Convex corrective lenses </w:t>
            </w:r>
          </w:p>
        </w:tc>
      </w:tr>
      <w:tr w:rsidR="007A420F" w:rsidTr="007A420F">
        <w:tc>
          <w:tcPr>
            <w:tcW w:w="2960" w:type="dxa"/>
            <w:tcBorders>
              <w:left w:val="single" w:sz="1" w:space="0" w:color="000000"/>
              <w:bottom w:val="single" w:sz="1" w:space="0" w:color="000000"/>
            </w:tcBorders>
            <w:shd w:val="clear" w:color="auto" w:fill="auto"/>
          </w:tcPr>
          <w:p w:rsidR="007A420F" w:rsidRPr="00A106E1" w:rsidRDefault="007A420F" w:rsidP="0098427D">
            <w:pPr>
              <w:pStyle w:val="TableContents"/>
              <w:rPr>
                <w:rFonts w:ascii="Arial" w:eastAsia="Calibri" w:hAnsi="Arial" w:cs="Calibri"/>
                <w:b/>
                <w:bCs/>
                <w:sz w:val="20"/>
                <w:szCs w:val="20"/>
              </w:rPr>
            </w:pPr>
            <w:r w:rsidRPr="00A106E1">
              <w:rPr>
                <w:rFonts w:ascii="Arial" w:hAnsi="Arial"/>
                <w:b/>
                <w:bCs/>
                <w:sz w:val="20"/>
                <w:szCs w:val="20"/>
              </w:rPr>
              <w:t xml:space="preserve">Presbyopia </w:t>
            </w:r>
          </w:p>
        </w:tc>
        <w:tc>
          <w:tcPr>
            <w:tcW w:w="3323" w:type="dxa"/>
            <w:tcBorders>
              <w:left w:val="single" w:sz="1" w:space="0" w:color="000000"/>
              <w:bottom w:val="single" w:sz="1" w:space="0" w:color="000000"/>
            </w:tcBorders>
            <w:shd w:val="clear" w:color="auto" w:fill="auto"/>
          </w:tcPr>
          <w:p w:rsidR="007A420F" w:rsidRPr="00A106E1" w:rsidRDefault="007A420F" w:rsidP="0098427D">
            <w:pPr>
              <w:pStyle w:val="Default1LTGliederung1"/>
              <w:rPr>
                <w:rFonts w:ascii="Arial" w:hAnsi="Arial"/>
                <w:bCs/>
                <w:color w:val="auto"/>
                <w:sz w:val="20"/>
                <w:szCs w:val="20"/>
              </w:rPr>
            </w:pPr>
            <w:r w:rsidRPr="00A106E1">
              <w:rPr>
                <w:rFonts w:ascii="Arial" w:eastAsia="Calibri" w:hAnsi="Arial" w:cs="Calibri"/>
                <w:bCs/>
                <w:color w:val="auto"/>
                <w:sz w:val="20"/>
                <w:szCs w:val="20"/>
              </w:rPr>
              <w:t xml:space="preserve">Age-related loss of accommodation (ability of the lens to change shape to </w:t>
            </w:r>
            <w:r w:rsidR="00903464">
              <w:rPr>
                <w:rFonts w:ascii="Arial" w:eastAsia="Calibri" w:hAnsi="Arial" w:cs="Calibri"/>
                <w:bCs/>
                <w:color w:val="auto"/>
                <w:sz w:val="20"/>
                <w:szCs w:val="20"/>
              </w:rPr>
              <w:t>focus light from near objects).</w:t>
            </w:r>
            <w:bookmarkStart w:id="0" w:name="_GoBack"/>
            <w:bookmarkEnd w:id="0"/>
          </w:p>
        </w:tc>
        <w:tc>
          <w:tcPr>
            <w:tcW w:w="3325" w:type="dxa"/>
            <w:tcBorders>
              <w:left w:val="single" w:sz="1" w:space="0" w:color="000000"/>
              <w:bottom w:val="single" w:sz="1" w:space="0" w:color="000000"/>
              <w:right w:val="single" w:sz="1" w:space="0" w:color="000000"/>
            </w:tcBorders>
            <w:shd w:val="clear" w:color="auto" w:fill="auto"/>
          </w:tcPr>
          <w:p w:rsidR="007A420F" w:rsidRPr="00A106E1" w:rsidRDefault="002857AB" w:rsidP="0098427D">
            <w:pPr>
              <w:pStyle w:val="TableContents"/>
            </w:pPr>
            <w:r>
              <w:rPr>
                <w:rFonts w:ascii="Arial" w:hAnsi="Arial"/>
                <w:bCs/>
                <w:sz w:val="20"/>
                <w:szCs w:val="20"/>
              </w:rPr>
              <w:t>Reading g</w:t>
            </w:r>
            <w:r w:rsidR="007A420F" w:rsidRPr="00A106E1">
              <w:rPr>
                <w:rFonts w:ascii="Arial" w:hAnsi="Arial"/>
                <w:bCs/>
                <w:sz w:val="20"/>
                <w:szCs w:val="20"/>
              </w:rPr>
              <w:t>lasses/Convex lenses</w:t>
            </w:r>
          </w:p>
        </w:tc>
      </w:tr>
      <w:tr w:rsidR="007A420F" w:rsidTr="007A420F">
        <w:tc>
          <w:tcPr>
            <w:tcW w:w="2960" w:type="dxa"/>
            <w:tcBorders>
              <w:left w:val="single" w:sz="1" w:space="0" w:color="000000"/>
              <w:bottom w:val="single" w:sz="1" w:space="0" w:color="000000"/>
            </w:tcBorders>
            <w:shd w:val="clear" w:color="auto" w:fill="auto"/>
          </w:tcPr>
          <w:p w:rsidR="007A420F" w:rsidRPr="00A106E1" w:rsidRDefault="007A420F" w:rsidP="0098427D">
            <w:pPr>
              <w:pStyle w:val="TableContents"/>
              <w:rPr>
                <w:rFonts w:ascii="Arial" w:eastAsia="Calibri" w:hAnsi="Arial" w:cs="Calibri"/>
                <w:b/>
                <w:bCs/>
                <w:sz w:val="20"/>
                <w:szCs w:val="20"/>
              </w:rPr>
            </w:pPr>
            <w:r w:rsidRPr="00A106E1">
              <w:rPr>
                <w:rFonts w:ascii="Arial" w:hAnsi="Arial"/>
                <w:b/>
                <w:bCs/>
                <w:sz w:val="20"/>
                <w:szCs w:val="20"/>
              </w:rPr>
              <w:t xml:space="preserve">Astigmatism </w:t>
            </w:r>
          </w:p>
        </w:tc>
        <w:tc>
          <w:tcPr>
            <w:tcW w:w="3323" w:type="dxa"/>
            <w:tcBorders>
              <w:left w:val="single" w:sz="1" w:space="0" w:color="000000"/>
              <w:bottom w:val="single" w:sz="1" w:space="0" w:color="000000"/>
            </w:tcBorders>
            <w:shd w:val="clear" w:color="auto" w:fill="auto"/>
          </w:tcPr>
          <w:p w:rsidR="007A420F" w:rsidRPr="00A106E1" w:rsidRDefault="007A420F" w:rsidP="0098427D">
            <w:pPr>
              <w:pStyle w:val="Default1LTGliederung1"/>
              <w:rPr>
                <w:rFonts w:ascii="Arial" w:hAnsi="Arial"/>
                <w:bCs/>
                <w:color w:val="auto"/>
                <w:sz w:val="20"/>
                <w:szCs w:val="20"/>
              </w:rPr>
            </w:pPr>
            <w:r>
              <w:rPr>
                <w:rFonts w:ascii="Arial" w:eastAsia="Calibri" w:hAnsi="Arial" w:cs="Calibri"/>
                <w:bCs/>
                <w:color w:val="auto"/>
                <w:sz w:val="20"/>
                <w:szCs w:val="20"/>
              </w:rPr>
              <w:t>Irregular curvature of the</w:t>
            </w:r>
            <w:r w:rsidRPr="00A106E1">
              <w:rPr>
                <w:rFonts w:ascii="Arial" w:eastAsia="Calibri" w:hAnsi="Arial" w:cs="Calibri"/>
                <w:bCs/>
                <w:color w:val="auto"/>
                <w:sz w:val="20"/>
                <w:szCs w:val="20"/>
              </w:rPr>
              <w:t xml:space="preserve"> cornea or lens</w:t>
            </w:r>
          </w:p>
          <w:p w:rsidR="007A420F" w:rsidRPr="00A106E1" w:rsidRDefault="007A420F" w:rsidP="0098427D">
            <w:pPr>
              <w:pStyle w:val="TableContents"/>
              <w:rPr>
                <w:rFonts w:ascii="Arial" w:hAnsi="Arial"/>
                <w:bCs/>
                <w:sz w:val="20"/>
                <w:szCs w:val="20"/>
              </w:rPr>
            </w:pPr>
          </w:p>
        </w:tc>
        <w:tc>
          <w:tcPr>
            <w:tcW w:w="3325" w:type="dxa"/>
            <w:tcBorders>
              <w:left w:val="single" w:sz="1" w:space="0" w:color="000000"/>
              <w:bottom w:val="single" w:sz="1" w:space="0" w:color="000000"/>
              <w:right w:val="single" w:sz="1" w:space="0" w:color="000000"/>
            </w:tcBorders>
            <w:shd w:val="clear" w:color="auto" w:fill="auto"/>
          </w:tcPr>
          <w:p w:rsidR="007A420F" w:rsidRPr="00A106E1" w:rsidRDefault="007A420F" w:rsidP="0098427D">
            <w:pPr>
              <w:pStyle w:val="TableContents"/>
            </w:pPr>
            <w:r w:rsidRPr="00A106E1">
              <w:rPr>
                <w:rFonts w:ascii="Arial" w:eastAsia="Calibri" w:hAnsi="Arial" w:cs="Calibri"/>
                <w:bCs/>
                <w:sz w:val="20"/>
                <w:szCs w:val="20"/>
              </w:rPr>
              <w:t>Corrected with lenses with the opposite curvature.</w:t>
            </w:r>
          </w:p>
        </w:tc>
      </w:tr>
    </w:tbl>
    <w:p w:rsidR="007A420F" w:rsidRDefault="007A420F" w:rsidP="007A420F">
      <w:pPr>
        <w:ind w:left="360"/>
      </w:pPr>
    </w:p>
    <w:p w:rsidR="00FB4BE9" w:rsidRDefault="00FB4BE9" w:rsidP="00FB4BE9">
      <w:pPr>
        <w:pStyle w:val="ListParagraph"/>
        <w:numPr>
          <w:ilvl w:val="0"/>
          <w:numId w:val="1"/>
        </w:numPr>
      </w:pPr>
      <w:r w:rsidRPr="000F7394">
        <w:rPr>
          <w:b/>
        </w:rPr>
        <w:t>Contrast</w:t>
      </w:r>
      <w:r>
        <w:t> non-proliferative and proliferative diabetic retinopathy with respect to etiology and effect on vision.</w:t>
      </w:r>
    </w:p>
    <w:p w:rsidR="00FB4BE9" w:rsidRPr="00DE524D" w:rsidRDefault="00FB4BE9" w:rsidP="00FB4BE9">
      <w:pPr>
        <w:pStyle w:val="ListParagraph"/>
        <w:numPr>
          <w:ilvl w:val="0"/>
          <w:numId w:val="1"/>
        </w:numPr>
      </w:pPr>
      <w:r>
        <w:t>Describe the etiology, manifestations, diagnosis and treatment of age-related macular degeneration (AMD).</w:t>
      </w:r>
    </w:p>
    <w:p w:rsidR="00FB4BE9" w:rsidRPr="00DE524D" w:rsidRDefault="00FB4BE9" w:rsidP="00FB4BE9">
      <w:pPr>
        <w:pStyle w:val="ListParagraph"/>
        <w:numPr>
          <w:ilvl w:val="0"/>
          <w:numId w:val="1"/>
        </w:numPr>
      </w:pPr>
      <w:r w:rsidRPr="000F7394">
        <w:rPr>
          <w:b/>
        </w:rPr>
        <w:t>Contrast</w:t>
      </w:r>
      <w:r>
        <w:t xml:space="preserve"> dry and wet age-related macular degeneration (AMD) with respect to </w:t>
      </w:r>
      <w:r w:rsidR="009E4DC3">
        <w:t>prevalence, retinal bleeding and presence of drusens.</w:t>
      </w:r>
    </w:p>
    <w:p w:rsidR="00FB4BE9" w:rsidRPr="00DE524D" w:rsidRDefault="00FB4BE9" w:rsidP="00FB4BE9">
      <w:pPr>
        <w:pStyle w:val="ListParagraph"/>
        <w:numPr>
          <w:ilvl w:val="0"/>
          <w:numId w:val="1"/>
        </w:numPr>
      </w:pPr>
      <w:r>
        <w:t>Describe the etiology, manifestations, diagnosis and treatment of a detached retina </w:t>
      </w:r>
    </w:p>
    <w:p w:rsidR="00FB4BE9" w:rsidRDefault="00FB4BE9" w:rsidP="00FB4BE9">
      <w:pPr>
        <w:pStyle w:val="ListParagraph"/>
        <w:numPr>
          <w:ilvl w:val="0"/>
          <w:numId w:val="1"/>
        </w:numPr>
      </w:pPr>
      <w:r>
        <w:t>Describe the synthesis, flow pattern and drainage of aqueous humor. </w:t>
      </w:r>
    </w:p>
    <w:p w:rsidR="00FB4BE9" w:rsidRPr="00DE524D" w:rsidRDefault="00FB4BE9" w:rsidP="00FB4BE9">
      <w:pPr>
        <w:pStyle w:val="ListParagraph"/>
        <w:numPr>
          <w:ilvl w:val="0"/>
          <w:numId w:val="1"/>
        </w:numPr>
      </w:pPr>
      <w:r w:rsidRPr="000F7394">
        <w:rPr>
          <w:b/>
        </w:rPr>
        <w:t>Contrast</w:t>
      </w:r>
      <w:r>
        <w:t xml:space="preserve"> the etiology, manifestations, diagnosis and treatment of open angle glaucoma and closed angle glaucoma.</w:t>
      </w:r>
    </w:p>
    <w:p w:rsidR="00FB4BE9" w:rsidRPr="00B275F8" w:rsidRDefault="00FB4BE9" w:rsidP="00FB4BE9">
      <w:pPr>
        <w:pStyle w:val="ListParagraph"/>
        <w:numPr>
          <w:ilvl w:val="0"/>
          <w:numId w:val="1"/>
        </w:numPr>
        <w:rPr>
          <w:rStyle w:val="normaltextrun"/>
        </w:rPr>
      </w:pPr>
      <w:r w:rsidRPr="7A0089DA">
        <w:rPr>
          <w:rStyle w:val="normaltextrun"/>
        </w:rPr>
        <w:t>Compare the mechanisms of action of timolol and pilocarpine in the treatment of glaucoma.</w:t>
      </w:r>
    </w:p>
    <w:p w:rsidR="00FB4BE9" w:rsidRPr="00DE524D" w:rsidRDefault="00FB4BE9" w:rsidP="00FB4BE9">
      <w:pPr>
        <w:pStyle w:val="ListParagraph"/>
        <w:numPr>
          <w:ilvl w:val="0"/>
          <w:numId w:val="1"/>
        </w:numPr>
        <w:rPr>
          <w:rStyle w:val="normaltextrun"/>
        </w:rPr>
      </w:pPr>
      <w:r>
        <w:rPr>
          <w:rStyle w:val="normaltextrun"/>
        </w:rPr>
        <w:t>Distinguish between</w:t>
      </w:r>
      <w:r w:rsidRPr="7A0089DA">
        <w:rPr>
          <w:rStyle w:val="normaltextrun"/>
        </w:rPr>
        <w:t xml:space="preserve"> AMD and glaucoma with respect to the part of the visual field that is affected first by the disorder</w:t>
      </w:r>
    </w:p>
    <w:p w:rsidR="00FB4BE9" w:rsidRDefault="00FB4BE9"/>
    <w:sectPr w:rsidR="00FB4BE9" w:rsidSect="00FB4B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751BF"/>
    <w:multiLevelType w:val="hybridMultilevel"/>
    <w:tmpl w:val="BB46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E9"/>
    <w:rsid w:val="002857AB"/>
    <w:rsid w:val="006211FA"/>
    <w:rsid w:val="00671502"/>
    <w:rsid w:val="007A420F"/>
    <w:rsid w:val="00903464"/>
    <w:rsid w:val="009E4DC3"/>
    <w:rsid w:val="00C5319A"/>
    <w:rsid w:val="00FB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0D48"/>
  <w15:chartTrackingRefBased/>
  <w15:docId w15:val="{30DA8E83-0CC3-40CF-B721-E6D8F2D8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BE9"/>
    <w:pPr>
      <w:spacing w:after="160" w:line="259" w:lineRule="auto"/>
      <w:ind w:left="720"/>
      <w:contextualSpacing/>
    </w:pPr>
  </w:style>
  <w:style w:type="character" w:customStyle="1" w:styleId="normaltextrun">
    <w:name w:val="normaltextrun"/>
    <w:basedOn w:val="DefaultParagraphFont"/>
    <w:rsid w:val="00FB4BE9"/>
  </w:style>
  <w:style w:type="table" w:styleId="TableGrid">
    <w:name w:val="Table Grid"/>
    <w:basedOn w:val="TableNormal"/>
    <w:uiPriority w:val="39"/>
    <w:rsid w:val="007A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A420F"/>
    <w:pPr>
      <w:widowControl w:val="0"/>
      <w:suppressLineNumbers/>
      <w:suppressAutoHyphens/>
    </w:pPr>
    <w:rPr>
      <w:rFonts w:ascii="Times New Roman" w:eastAsia="SimSun" w:hAnsi="Times New Roman" w:cs="Arial Unicode MS"/>
      <w:kern w:val="1"/>
      <w:sz w:val="24"/>
      <w:szCs w:val="24"/>
      <w:lang w:eastAsia="hi-IN" w:bidi="hi-IN"/>
    </w:rPr>
  </w:style>
  <w:style w:type="paragraph" w:customStyle="1" w:styleId="Default1LTGliederung1">
    <w:name w:val="Default 1~LT~Gliederung 1"/>
    <w:rsid w:val="007A420F"/>
    <w:pPr>
      <w:widowControl w:val="0"/>
      <w:suppressAutoHyphens/>
      <w:autoSpaceDE w:val="0"/>
      <w:spacing w:after="283" w:line="216" w:lineRule="auto"/>
    </w:pPr>
    <w:rPr>
      <w:rFonts w:ascii="Arial Unicode MS" w:eastAsia="Arial Unicode MS" w:hAnsi="Arial Unicode MS" w:cs="Arial Unicode MS"/>
      <w:color w:val="000000"/>
      <w:kern w:val="1"/>
      <w:sz w:val="56"/>
      <w:szCs w:val="56"/>
      <w:lang w:eastAsia="hi-IN" w:bidi="hi-IN"/>
    </w:rPr>
  </w:style>
  <w:style w:type="paragraph" w:customStyle="1" w:styleId="Default1LTGliederung2">
    <w:name w:val="Default 1~LT~Gliederung 2"/>
    <w:basedOn w:val="Default1LTGliederung1"/>
    <w:rsid w:val="007A420F"/>
    <w:pPr>
      <w:spacing w:after="227"/>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SUSAN</dc:creator>
  <cp:keywords/>
  <dc:description/>
  <cp:lastModifiedBy>JOHNSON, SUSAN</cp:lastModifiedBy>
  <cp:revision>5</cp:revision>
  <dcterms:created xsi:type="dcterms:W3CDTF">2020-09-22T19:47:00Z</dcterms:created>
  <dcterms:modified xsi:type="dcterms:W3CDTF">2021-04-22T15:19:00Z</dcterms:modified>
</cp:coreProperties>
</file>